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0350" w14:textId="13642F38" w:rsidR="00207203" w:rsidRDefault="00207203" w:rsidP="006C31EC">
      <w:pPr>
        <w:contextualSpacing/>
        <w:rPr>
          <w:b/>
          <w:bCs/>
        </w:rPr>
      </w:pPr>
      <w:r>
        <w:rPr>
          <w:b/>
          <w:bCs/>
        </w:rPr>
        <w:t>ABOUT MEDIA DYNAMICS, INC.’S CPM ESTIMATES</w:t>
      </w:r>
    </w:p>
    <w:p w14:paraId="57646BE3" w14:textId="77777777" w:rsidR="00207203" w:rsidRDefault="00207203" w:rsidP="006C31EC">
      <w:pPr>
        <w:contextualSpacing/>
        <w:rPr>
          <w:b/>
          <w:bCs/>
        </w:rPr>
      </w:pPr>
    </w:p>
    <w:p w14:paraId="0E39A963" w14:textId="6B9CD5E8" w:rsidR="006C31EC" w:rsidRDefault="006C31EC" w:rsidP="006C31EC">
      <w:pPr>
        <w:contextualSpacing/>
        <w:rPr>
          <w:b/>
          <w:bCs/>
        </w:rPr>
      </w:pPr>
      <w:r>
        <w:rPr>
          <w:b/>
          <w:bCs/>
        </w:rPr>
        <w:t>Background</w:t>
      </w:r>
    </w:p>
    <w:p w14:paraId="0460D716" w14:textId="2182CE4D" w:rsidR="006C31EC" w:rsidRDefault="006C31EC" w:rsidP="006C31EC">
      <w:pPr>
        <w:contextualSpacing/>
        <w:jc w:val="both"/>
        <w:rPr>
          <w:b/>
          <w:bCs/>
        </w:rPr>
      </w:pPr>
      <w:r>
        <w:t>Media Dynamics, Inc. is</w:t>
      </w:r>
      <w:r w:rsidRPr="006C31EC">
        <w:t xml:space="preserve"> the original creator of </w:t>
      </w:r>
      <w:proofErr w:type="spellStart"/>
      <w:r w:rsidRPr="006C31EC">
        <w:t>Netcosts</w:t>
      </w:r>
      <w:proofErr w:type="spellEnd"/>
      <w:r>
        <w:t>,</w:t>
      </w:r>
      <w:r w:rsidRPr="006C31EC">
        <w:t xml:space="preserve"> which was</w:t>
      </w:r>
      <w:r>
        <w:t xml:space="preserve"> </w:t>
      </w:r>
      <w:r w:rsidRPr="006C31EC">
        <w:t xml:space="preserve">sold to SQAD </w:t>
      </w:r>
      <w:r>
        <w:t>over</w:t>
      </w:r>
      <w:r w:rsidRPr="006C31EC">
        <w:t xml:space="preserve"> </w:t>
      </w:r>
      <w:r w:rsidR="00F70477">
        <w:t xml:space="preserve">25 </w:t>
      </w:r>
      <w:r w:rsidRPr="006C31EC">
        <w:t>years ago</w:t>
      </w:r>
      <w:r>
        <w:t xml:space="preserve">, </w:t>
      </w:r>
      <w:r w:rsidRPr="006C31EC">
        <w:t xml:space="preserve">so we have a </w:t>
      </w:r>
      <w:r>
        <w:t>great deal</w:t>
      </w:r>
      <w:r w:rsidRPr="006C31EC">
        <w:t xml:space="preserve"> of experience</w:t>
      </w:r>
      <w:r>
        <w:t xml:space="preserve"> </w:t>
      </w:r>
      <w:r w:rsidRPr="006C31EC">
        <w:t xml:space="preserve">regarding estimating national TV CPMs and CPPs. </w:t>
      </w:r>
      <w:r w:rsidR="00F70477">
        <w:t>W</w:t>
      </w:r>
      <w:r w:rsidRPr="006C31EC">
        <w:t>e provide</w:t>
      </w:r>
      <w:r>
        <w:t xml:space="preserve"> </w:t>
      </w:r>
      <w:r w:rsidRPr="006C31EC">
        <w:t xml:space="preserve">our </w:t>
      </w:r>
      <w:r>
        <w:t>CPM</w:t>
      </w:r>
      <w:r w:rsidRPr="006C31EC">
        <w:t xml:space="preserve"> estimates </w:t>
      </w:r>
      <w:r>
        <w:t xml:space="preserve">(in </w:t>
      </w:r>
      <w:hyperlink r:id="rId5" w:history="1">
        <w:r w:rsidRPr="00253DE5">
          <w:rPr>
            <w:rStyle w:val="Hyperlink"/>
            <w:b/>
            <w:bCs/>
          </w:rPr>
          <w:t>Upfront Tracker</w:t>
        </w:r>
      </w:hyperlink>
      <w:r>
        <w:t xml:space="preserve">, </w:t>
      </w:r>
      <w:hyperlink r:id="rId6" w:history="1">
        <w:proofErr w:type="spellStart"/>
        <w:r w:rsidRPr="00253DE5">
          <w:rPr>
            <w:rStyle w:val="Hyperlink"/>
            <w:b/>
            <w:bCs/>
          </w:rPr>
          <w:t>CPMTrack</w:t>
        </w:r>
        <w:proofErr w:type="spellEnd"/>
      </w:hyperlink>
      <w:r>
        <w:t xml:space="preserve"> and </w:t>
      </w:r>
      <w:hyperlink r:id="rId7" w:history="1">
        <w:r w:rsidRPr="00253DE5">
          <w:rPr>
            <w:rStyle w:val="Hyperlink"/>
            <w:b/>
            <w:bCs/>
          </w:rPr>
          <w:t>Total TV Dimensions</w:t>
        </w:r>
      </w:hyperlink>
      <w:r>
        <w:t xml:space="preserve">) </w:t>
      </w:r>
      <w:r w:rsidRPr="006C31EC">
        <w:t>as a service to those subscribers who find that</w:t>
      </w:r>
      <w:r>
        <w:t xml:space="preserve"> </w:t>
      </w:r>
      <w:r w:rsidRPr="006C31EC">
        <w:t>having another source is useful</w:t>
      </w:r>
      <w:r>
        <w:t>.</w:t>
      </w:r>
    </w:p>
    <w:p w14:paraId="5D06A7AA" w14:textId="77777777" w:rsidR="006C31EC" w:rsidRDefault="006C31EC" w:rsidP="006C31EC">
      <w:pPr>
        <w:contextualSpacing/>
        <w:rPr>
          <w:b/>
          <w:bCs/>
        </w:rPr>
      </w:pPr>
    </w:p>
    <w:p w14:paraId="30F9A0E6" w14:textId="5523E4A0" w:rsidR="006C31EC" w:rsidRPr="006C31EC" w:rsidRDefault="006C31EC" w:rsidP="006C31EC">
      <w:pPr>
        <w:contextualSpacing/>
        <w:rPr>
          <w:b/>
          <w:bCs/>
        </w:rPr>
      </w:pPr>
      <w:r w:rsidRPr="006C31EC">
        <w:rPr>
          <w:b/>
          <w:bCs/>
        </w:rPr>
        <w:t>Data Sources</w:t>
      </w:r>
    </w:p>
    <w:p w14:paraId="6B83A66B" w14:textId="371881E4" w:rsidR="006C31EC" w:rsidRDefault="00F70477" w:rsidP="006C31EC">
      <w:pPr>
        <w:contextualSpacing/>
        <w:jc w:val="both"/>
      </w:pPr>
      <w:r>
        <w:t>Often, t</w:t>
      </w:r>
      <w:r w:rsidR="006C31EC" w:rsidRPr="006C31EC">
        <w:t>he assumption is that all we are doing is collecting "data" from various sources and, perhaps averaging it.</w:t>
      </w:r>
      <w:r w:rsidR="006C31EC">
        <w:t xml:space="preserve"> </w:t>
      </w:r>
      <w:r w:rsidR="006C31EC" w:rsidRPr="006C31EC">
        <w:t xml:space="preserve">Not so. </w:t>
      </w:r>
      <w:r>
        <w:t>The</w:t>
      </w:r>
      <w:r w:rsidR="006C31EC" w:rsidRPr="006C31EC">
        <w:t xml:space="preserve"> data</w:t>
      </w:r>
      <w:r>
        <w:t xml:space="preserve"> we see</w:t>
      </w:r>
      <w:r w:rsidR="006C31EC" w:rsidRPr="006C31EC">
        <w:t xml:space="preserve"> is unrefined and its quality varies</w:t>
      </w:r>
      <w:r w:rsidR="006C31EC">
        <w:t>,</w:t>
      </w:r>
      <w:r w:rsidR="006C31EC" w:rsidRPr="006C31EC">
        <w:t xml:space="preserve"> so we accept the responsibility and make our own independent estimates. </w:t>
      </w:r>
      <w:r>
        <w:t>We speak with experts on a confidential basis; i</w:t>
      </w:r>
      <w:r w:rsidR="006C31EC" w:rsidRPr="006C31EC">
        <w:t xml:space="preserve">n the same vein, we sign nondisclosure contracts with almost all of our consulting clients </w:t>
      </w:r>
      <w:r>
        <w:t>(including</w:t>
      </w:r>
      <w:r w:rsidR="006C31EC" w:rsidRPr="006C31EC">
        <w:t xml:space="preserve"> broadcast TV networks, major cable channels and TV station groups</w:t>
      </w:r>
      <w:r>
        <w:t>)</w:t>
      </w:r>
      <w:r w:rsidR="006C31EC" w:rsidRPr="006C31EC">
        <w:t>.</w:t>
      </w:r>
    </w:p>
    <w:p w14:paraId="712100A2" w14:textId="77777777" w:rsidR="00253DE5" w:rsidRDefault="00253DE5" w:rsidP="006C31EC">
      <w:pPr>
        <w:contextualSpacing/>
        <w:jc w:val="both"/>
      </w:pPr>
    </w:p>
    <w:p w14:paraId="33FC35F6" w14:textId="343A7904" w:rsidR="00253DE5" w:rsidRDefault="00253DE5" w:rsidP="00253DE5">
      <w:pPr>
        <w:jc w:val="both"/>
      </w:pPr>
      <w:r w:rsidRPr="006C31EC">
        <w:t>We do not receive nor tabulate</w:t>
      </w:r>
      <w:r>
        <w:t xml:space="preserve"> </w:t>
      </w:r>
      <w:r w:rsidRPr="006C31EC">
        <w:t>specific ad schedules nor do we use Nielsen or any other audience</w:t>
      </w:r>
      <w:r>
        <w:t xml:space="preserve"> </w:t>
      </w:r>
      <w:r w:rsidRPr="006C31EC">
        <w:t>survey. The figures are upfront buys as negotiated---with appropriate</w:t>
      </w:r>
      <w:r>
        <w:t xml:space="preserve"> </w:t>
      </w:r>
      <w:r w:rsidRPr="006C31EC">
        <w:t>audience tonnage guarantees. We do not revisit the upfront, later, to</w:t>
      </w:r>
      <w:r>
        <w:t xml:space="preserve"> </w:t>
      </w:r>
      <w:r w:rsidRPr="006C31EC">
        <w:t xml:space="preserve">take </w:t>
      </w:r>
      <w:r w:rsidR="00F70477">
        <w:t xml:space="preserve">into </w:t>
      </w:r>
      <w:r w:rsidRPr="006C31EC">
        <w:t>account make</w:t>
      </w:r>
      <w:r>
        <w:t xml:space="preserve"> </w:t>
      </w:r>
      <w:r w:rsidRPr="006C31EC">
        <w:t>goods</w:t>
      </w:r>
      <w:r>
        <w:t xml:space="preserve"> (</w:t>
      </w:r>
      <w:r w:rsidRPr="006C31EC">
        <w:t>usually a small percentage</w:t>
      </w:r>
      <w:r>
        <w:t>)</w:t>
      </w:r>
      <w:r w:rsidRPr="006C31EC">
        <w:t xml:space="preserve"> or</w:t>
      </w:r>
      <w:r>
        <w:t xml:space="preserve"> </w:t>
      </w:r>
      <w:r w:rsidRPr="006C31EC">
        <w:t>cancellations</w:t>
      </w:r>
      <w:r w:rsidR="00F70477">
        <w:t xml:space="preserve">. The exception was </w:t>
      </w:r>
      <w:r w:rsidRPr="006C31EC">
        <w:t xml:space="preserve">in 2020, </w:t>
      </w:r>
      <w:r w:rsidR="00F70477">
        <w:t xml:space="preserve">when the cancellations </w:t>
      </w:r>
      <w:r w:rsidRPr="006C31EC">
        <w:t>w</w:t>
      </w:r>
      <w:r w:rsidR="00F70477">
        <w:t>ere</w:t>
      </w:r>
      <w:r w:rsidRPr="006C31EC">
        <w:t xml:space="preserve"> so large that we put out</w:t>
      </w:r>
      <w:r w:rsidR="00F70477">
        <w:t xml:space="preserve"> </w:t>
      </w:r>
      <w:r w:rsidRPr="006C31EC">
        <w:t>a report on the overall amount of primetime ad dollars that was</w:t>
      </w:r>
      <w:r>
        <w:t xml:space="preserve"> </w:t>
      </w:r>
      <w:r w:rsidRPr="006C31EC">
        <w:t xml:space="preserve">cancelled. </w:t>
      </w:r>
    </w:p>
    <w:p w14:paraId="77E9C215" w14:textId="07B426FB" w:rsidR="006C31EC" w:rsidRPr="006C31EC" w:rsidRDefault="006C31EC" w:rsidP="006C31EC">
      <w:pPr>
        <w:contextualSpacing/>
        <w:jc w:val="both"/>
        <w:rPr>
          <w:b/>
          <w:bCs/>
        </w:rPr>
      </w:pPr>
      <w:r w:rsidRPr="006C31EC">
        <w:rPr>
          <w:b/>
          <w:bCs/>
        </w:rPr>
        <w:t>Variables</w:t>
      </w:r>
    </w:p>
    <w:p w14:paraId="3A13E344" w14:textId="042C2536" w:rsidR="006C31EC" w:rsidRDefault="006C31EC" w:rsidP="006C31EC">
      <w:pPr>
        <w:jc w:val="both"/>
      </w:pPr>
      <w:r w:rsidRPr="006C31EC">
        <w:t>Regarding the variables that are taken into account, the main ones concern demographic targeting and the consistency of the data year to year. In the first case, we do not simply average all networks and/or cable channels together</w:t>
      </w:r>
      <w:r w:rsidR="00F70477">
        <w:t>,</w:t>
      </w:r>
      <w:r w:rsidRPr="006C31EC">
        <w:t xml:space="preserve"> as younger or older skewed advertisers will not place equal GRP weight with every seller without regard for the age of their viewers or program quality. </w:t>
      </w:r>
      <w:r>
        <w:t>W</w:t>
      </w:r>
      <w:r w:rsidRPr="006C31EC">
        <w:t>e give younger</w:t>
      </w:r>
      <w:r w:rsidR="00F70477">
        <w:t>-</w:t>
      </w:r>
      <w:r w:rsidRPr="006C31EC">
        <w:t>oriented networks such as The CW, Comedy Central, etc. more weight for the 18-34 demos and somewhat more for the 18-49s while CBS, as an example, is more heavily represented in the 35+ "demo</w:t>
      </w:r>
      <w:r>
        <w:t>.</w:t>
      </w:r>
      <w:r w:rsidRPr="006C31EC">
        <w:t>"</w:t>
      </w:r>
      <w:r>
        <w:t xml:space="preserve"> </w:t>
      </w:r>
      <w:r w:rsidRPr="006C31EC">
        <w:t>The weights are subjective and vary year to year. These weights are</w:t>
      </w:r>
      <w:r>
        <w:t xml:space="preserve"> </w:t>
      </w:r>
      <w:r w:rsidRPr="006C31EC">
        <w:t>confidential but we have been told that they</w:t>
      </w:r>
      <w:r>
        <w:t xml:space="preserve"> </w:t>
      </w:r>
      <w:r w:rsidRPr="006C31EC">
        <w:t>can provide a more realistic benchmark for trending comparisons across</w:t>
      </w:r>
      <w:r>
        <w:t xml:space="preserve"> </w:t>
      </w:r>
      <w:r w:rsidRPr="006C31EC">
        <w:t>seasons.</w:t>
      </w:r>
      <w:r>
        <w:t xml:space="preserve"> S</w:t>
      </w:r>
      <w:r w:rsidRPr="006C31EC">
        <w:t xml:space="preserve">ubscribers are free to adjust our CPMs and CPPs up or down based on their own experience. The age weighting is one of the differences between us and </w:t>
      </w:r>
      <w:proofErr w:type="spellStart"/>
      <w:r w:rsidRPr="006C31EC">
        <w:t>Netcosts</w:t>
      </w:r>
      <w:proofErr w:type="spellEnd"/>
      <w:r>
        <w:t>, for example</w:t>
      </w:r>
      <w:r w:rsidRPr="006C31EC">
        <w:t>. Another difference is our provision of month</w:t>
      </w:r>
      <w:r w:rsidR="00F70477">
        <w:t>-</w:t>
      </w:r>
      <w:r w:rsidRPr="006C31EC">
        <w:t>by</w:t>
      </w:r>
      <w:r w:rsidR="00F70477">
        <w:t>-</w:t>
      </w:r>
      <w:r w:rsidRPr="006C31EC">
        <w:t xml:space="preserve">month estimates </w:t>
      </w:r>
      <w:r w:rsidR="00F70477">
        <w:t xml:space="preserve">that </w:t>
      </w:r>
      <w:r w:rsidRPr="006C31EC">
        <w:t>can be important for media planners thinking about specific times next season</w:t>
      </w:r>
      <w:r>
        <w:t>—l</w:t>
      </w:r>
      <w:r w:rsidRPr="006C31EC">
        <w:t>ike May, which would be higher than average or January, which would be considerably lower.</w:t>
      </w:r>
    </w:p>
    <w:p w14:paraId="0A3A816A" w14:textId="79346CF0" w:rsidR="006C31EC" w:rsidRDefault="006C31EC" w:rsidP="00207203">
      <w:r w:rsidRPr="006C31EC">
        <w:br/>
      </w:r>
    </w:p>
    <w:sectPr w:rsidR="006C3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D7A"/>
    <w:multiLevelType w:val="multilevel"/>
    <w:tmpl w:val="649E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D241A"/>
    <w:multiLevelType w:val="hybridMultilevel"/>
    <w:tmpl w:val="59DC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704747">
    <w:abstractNumId w:val="0"/>
  </w:num>
  <w:num w:numId="2" w16cid:durableId="54849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C"/>
    <w:rsid w:val="00172472"/>
    <w:rsid w:val="00207203"/>
    <w:rsid w:val="00253DE5"/>
    <w:rsid w:val="003B5D8A"/>
    <w:rsid w:val="005569AB"/>
    <w:rsid w:val="006C31EC"/>
    <w:rsid w:val="009E4F0A"/>
    <w:rsid w:val="00A238F9"/>
    <w:rsid w:val="00DD4B3A"/>
    <w:rsid w:val="00F45944"/>
    <w:rsid w:val="00F70477"/>
    <w:rsid w:val="00F8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EA0D"/>
  <w15:chartTrackingRefBased/>
  <w15:docId w15:val="{2897AB5B-40EF-4FAD-835B-D0EC29B9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1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1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1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1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1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1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1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1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1EC"/>
    <w:rPr>
      <w:rFonts w:eastAsiaTheme="majorEastAsia" w:cstheme="majorBidi"/>
      <w:color w:val="272727" w:themeColor="text1" w:themeTint="D8"/>
    </w:rPr>
  </w:style>
  <w:style w:type="paragraph" w:styleId="Title">
    <w:name w:val="Title"/>
    <w:basedOn w:val="Normal"/>
    <w:next w:val="Normal"/>
    <w:link w:val="TitleChar"/>
    <w:uiPriority w:val="10"/>
    <w:qFormat/>
    <w:rsid w:val="006C3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1EC"/>
    <w:pPr>
      <w:spacing w:before="160"/>
      <w:jc w:val="center"/>
    </w:pPr>
    <w:rPr>
      <w:i/>
      <w:iCs/>
      <w:color w:val="404040" w:themeColor="text1" w:themeTint="BF"/>
    </w:rPr>
  </w:style>
  <w:style w:type="character" w:customStyle="1" w:styleId="QuoteChar">
    <w:name w:val="Quote Char"/>
    <w:basedOn w:val="DefaultParagraphFont"/>
    <w:link w:val="Quote"/>
    <w:uiPriority w:val="29"/>
    <w:rsid w:val="006C31EC"/>
    <w:rPr>
      <w:i/>
      <w:iCs/>
      <w:color w:val="404040" w:themeColor="text1" w:themeTint="BF"/>
    </w:rPr>
  </w:style>
  <w:style w:type="paragraph" w:styleId="ListParagraph">
    <w:name w:val="List Paragraph"/>
    <w:basedOn w:val="Normal"/>
    <w:uiPriority w:val="34"/>
    <w:qFormat/>
    <w:rsid w:val="006C31EC"/>
    <w:pPr>
      <w:ind w:left="720"/>
      <w:contextualSpacing/>
    </w:pPr>
  </w:style>
  <w:style w:type="character" w:styleId="IntenseEmphasis">
    <w:name w:val="Intense Emphasis"/>
    <w:basedOn w:val="DefaultParagraphFont"/>
    <w:uiPriority w:val="21"/>
    <w:qFormat/>
    <w:rsid w:val="006C31EC"/>
    <w:rPr>
      <w:i/>
      <w:iCs/>
      <w:color w:val="2F5496" w:themeColor="accent1" w:themeShade="BF"/>
    </w:rPr>
  </w:style>
  <w:style w:type="paragraph" w:styleId="IntenseQuote">
    <w:name w:val="Intense Quote"/>
    <w:basedOn w:val="Normal"/>
    <w:next w:val="Normal"/>
    <w:link w:val="IntenseQuoteChar"/>
    <w:uiPriority w:val="30"/>
    <w:qFormat/>
    <w:rsid w:val="006C3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1EC"/>
    <w:rPr>
      <w:i/>
      <w:iCs/>
      <w:color w:val="2F5496" w:themeColor="accent1" w:themeShade="BF"/>
    </w:rPr>
  </w:style>
  <w:style w:type="character" w:styleId="IntenseReference">
    <w:name w:val="Intense Reference"/>
    <w:basedOn w:val="DefaultParagraphFont"/>
    <w:uiPriority w:val="32"/>
    <w:qFormat/>
    <w:rsid w:val="006C31EC"/>
    <w:rPr>
      <w:b/>
      <w:bCs/>
      <w:smallCaps/>
      <w:color w:val="2F5496" w:themeColor="accent1" w:themeShade="BF"/>
      <w:spacing w:val="5"/>
    </w:rPr>
  </w:style>
  <w:style w:type="character" w:styleId="Hyperlink">
    <w:name w:val="Hyperlink"/>
    <w:basedOn w:val="DefaultParagraphFont"/>
    <w:uiPriority w:val="99"/>
    <w:unhideWhenUsed/>
    <w:rsid w:val="00253DE5"/>
    <w:rPr>
      <w:color w:val="0563C1" w:themeColor="hyperlink"/>
      <w:u w:val="single"/>
    </w:rPr>
  </w:style>
  <w:style w:type="character" w:styleId="UnresolvedMention">
    <w:name w:val="Unresolved Mention"/>
    <w:basedOn w:val="DefaultParagraphFont"/>
    <w:uiPriority w:val="99"/>
    <w:semiHidden/>
    <w:unhideWhenUsed/>
    <w:rsid w:val="00253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5983">
      <w:bodyDiv w:val="1"/>
      <w:marLeft w:val="0"/>
      <w:marRight w:val="0"/>
      <w:marTop w:val="0"/>
      <w:marBottom w:val="0"/>
      <w:divBdr>
        <w:top w:val="none" w:sz="0" w:space="0" w:color="auto"/>
        <w:left w:val="none" w:sz="0" w:space="0" w:color="auto"/>
        <w:bottom w:val="none" w:sz="0" w:space="0" w:color="auto"/>
        <w:right w:val="none" w:sz="0" w:space="0" w:color="auto"/>
      </w:divBdr>
    </w:div>
    <w:div w:id="203098829">
      <w:bodyDiv w:val="1"/>
      <w:marLeft w:val="0"/>
      <w:marRight w:val="0"/>
      <w:marTop w:val="0"/>
      <w:marBottom w:val="0"/>
      <w:divBdr>
        <w:top w:val="none" w:sz="0" w:space="0" w:color="auto"/>
        <w:left w:val="none" w:sz="0" w:space="0" w:color="auto"/>
        <w:bottom w:val="none" w:sz="0" w:space="0" w:color="auto"/>
        <w:right w:val="none" w:sz="0" w:space="0" w:color="auto"/>
      </w:divBdr>
      <w:divsChild>
        <w:div w:id="759983392">
          <w:marLeft w:val="0"/>
          <w:marRight w:val="0"/>
          <w:marTop w:val="0"/>
          <w:marBottom w:val="0"/>
          <w:divBdr>
            <w:top w:val="none" w:sz="0" w:space="0" w:color="auto"/>
            <w:left w:val="none" w:sz="0" w:space="0" w:color="auto"/>
            <w:bottom w:val="none" w:sz="0" w:space="0" w:color="auto"/>
            <w:right w:val="none" w:sz="0" w:space="0" w:color="auto"/>
          </w:divBdr>
        </w:div>
        <w:div w:id="530996786">
          <w:marLeft w:val="0"/>
          <w:marRight w:val="0"/>
          <w:marTop w:val="0"/>
          <w:marBottom w:val="0"/>
          <w:divBdr>
            <w:top w:val="none" w:sz="0" w:space="0" w:color="auto"/>
            <w:left w:val="none" w:sz="0" w:space="0" w:color="auto"/>
            <w:bottom w:val="none" w:sz="0" w:space="0" w:color="auto"/>
            <w:right w:val="none" w:sz="0" w:space="0" w:color="auto"/>
          </w:divBdr>
        </w:div>
        <w:div w:id="1404336368">
          <w:marLeft w:val="0"/>
          <w:marRight w:val="0"/>
          <w:marTop w:val="0"/>
          <w:marBottom w:val="0"/>
          <w:divBdr>
            <w:top w:val="none" w:sz="0" w:space="0" w:color="auto"/>
            <w:left w:val="none" w:sz="0" w:space="0" w:color="auto"/>
            <w:bottom w:val="none" w:sz="0" w:space="0" w:color="auto"/>
            <w:right w:val="none" w:sz="0" w:space="0" w:color="auto"/>
          </w:divBdr>
        </w:div>
        <w:div w:id="789477651">
          <w:marLeft w:val="0"/>
          <w:marRight w:val="0"/>
          <w:marTop w:val="0"/>
          <w:marBottom w:val="0"/>
          <w:divBdr>
            <w:top w:val="none" w:sz="0" w:space="0" w:color="auto"/>
            <w:left w:val="none" w:sz="0" w:space="0" w:color="auto"/>
            <w:bottom w:val="none" w:sz="0" w:space="0" w:color="auto"/>
            <w:right w:val="none" w:sz="0" w:space="0" w:color="auto"/>
          </w:divBdr>
        </w:div>
        <w:div w:id="1817990067">
          <w:marLeft w:val="0"/>
          <w:marRight w:val="0"/>
          <w:marTop w:val="0"/>
          <w:marBottom w:val="0"/>
          <w:divBdr>
            <w:top w:val="none" w:sz="0" w:space="0" w:color="auto"/>
            <w:left w:val="none" w:sz="0" w:space="0" w:color="auto"/>
            <w:bottom w:val="none" w:sz="0" w:space="0" w:color="auto"/>
            <w:right w:val="none" w:sz="0" w:space="0" w:color="auto"/>
          </w:divBdr>
        </w:div>
        <w:div w:id="267276581">
          <w:marLeft w:val="0"/>
          <w:marRight w:val="0"/>
          <w:marTop w:val="0"/>
          <w:marBottom w:val="0"/>
          <w:divBdr>
            <w:top w:val="none" w:sz="0" w:space="0" w:color="auto"/>
            <w:left w:val="none" w:sz="0" w:space="0" w:color="auto"/>
            <w:bottom w:val="none" w:sz="0" w:space="0" w:color="auto"/>
            <w:right w:val="none" w:sz="0" w:space="0" w:color="auto"/>
          </w:divBdr>
        </w:div>
        <w:div w:id="562832714">
          <w:marLeft w:val="0"/>
          <w:marRight w:val="0"/>
          <w:marTop w:val="0"/>
          <w:marBottom w:val="0"/>
          <w:divBdr>
            <w:top w:val="none" w:sz="0" w:space="0" w:color="auto"/>
            <w:left w:val="none" w:sz="0" w:space="0" w:color="auto"/>
            <w:bottom w:val="none" w:sz="0" w:space="0" w:color="auto"/>
            <w:right w:val="none" w:sz="0" w:space="0" w:color="auto"/>
          </w:divBdr>
        </w:div>
      </w:divsChild>
    </w:div>
    <w:div w:id="1394811554">
      <w:bodyDiv w:val="1"/>
      <w:marLeft w:val="0"/>
      <w:marRight w:val="0"/>
      <w:marTop w:val="0"/>
      <w:marBottom w:val="0"/>
      <w:divBdr>
        <w:top w:val="none" w:sz="0" w:space="0" w:color="auto"/>
        <w:left w:val="none" w:sz="0" w:space="0" w:color="auto"/>
        <w:bottom w:val="none" w:sz="0" w:space="0" w:color="auto"/>
        <w:right w:val="none" w:sz="0" w:space="0" w:color="auto"/>
      </w:divBdr>
    </w:div>
    <w:div w:id="1584797426">
      <w:bodyDiv w:val="1"/>
      <w:marLeft w:val="0"/>
      <w:marRight w:val="0"/>
      <w:marTop w:val="0"/>
      <w:marBottom w:val="0"/>
      <w:divBdr>
        <w:top w:val="none" w:sz="0" w:space="0" w:color="auto"/>
        <w:left w:val="none" w:sz="0" w:space="0" w:color="auto"/>
        <w:bottom w:val="none" w:sz="0" w:space="0" w:color="auto"/>
        <w:right w:val="none" w:sz="0" w:space="0" w:color="auto"/>
      </w:divBdr>
      <w:divsChild>
        <w:div w:id="2119450758">
          <w:marLeft w:val="0"/>
          <w:marRight w:val="0"/>
          <w:marTop w:val="0"/>
          <w:marBottom w:val="0"/>
          <w:divBdr>
            <w:top w:val="none" w:sz="0" w:space="0" w:color="auto"/>
            <w:left w:val="none" w:sz="0" w:space="0" w:color="auto"/>
            <w:bottom w:val="none" w:sz="0" w:space="0" w:color="auto"/>
            <w:right w:val="none" w:sz="0" w:space="0" w:color="auto"/>
          </w:divBdr>
        </w:div>
        <w:div w:id="1833372174">
          <w:marLeft w:val="0"/>
          <w:marRight w:val="0"/>
          <w:marTop w:val="0"/>
          <w:marBottom w:val="0"/>
          <w:divBdr>
            <w:top w:val="none" w:sz="0" w:space="0" w:color="auto"/>
            <w:left w:val="none" w:sz="0" w:space="0" w:color="auto"/>
            <w:bottom w:val="none" w:sz="0" w:space="0" w:color="auto"/>
            <w:right w:val="none" w:sz="0" w:space="0" w:color="auto"/>
          </w:divBdr>
        </w:div>
        <w:div w:id="1302808535">
          <w:marLeft w:val="0"/>
          <w:marRight w:val="0"/>
          <w:marTop w:val="0"/>
          <w:marBottom w:val="0"/>
          <w:divBdr>
            <w:top w:val="none" w:sz="0" w:space="0" w:color="auto"/>
            <w:left w:val="none" w:sz="0" w:space="0" w:color="auto"/>
            <w:bottom w:val="none" w:sz="0" w:space="0" w:color="auto"/>
            <w:right w:val="none" w:sz="0" w:space="0" w:color="auto"/>
          </w:divBdr>
        </w:div>
        <w:div w:id="792090828">
          <w:marLeft w:val="0"/>
          <w:marRight w:val="0"/>
          <w:marTop w:val="0"/>
          <w:marBottom w:val="0"/>
          <w:divBdr>
            <w:top w:val="none" w:sz="0" w:space="0" w:color="auto"/>
            <w:left w:val="none" w:sz="0" w:space="0" w:color="auto"/>
            <w:bottom w:val="none" w:sz="0" w:space="0" w:color="auto"/>
            <w:right w:val="none" w:sz="0" w:space="0" w:color="auto"/>
          </w:divBdr>
        </w:div>
        <w:div w:id="499009570">
          <w:marLeft w:val="0"/>
          <w:marRight w:val="0"/>
          <w:marTop w:val="0"/>
          <w:marBottom w:val="0"/>
          <w:divBdr>
            <w:top w:val="none" w:sz="0" w:space="0" w:color="auto"/>
            <w:left w:val="none" w:sz="0" w:space="0" w:color="auto"/>
            <w:bottom w:val="none" w:sz="0" w:space="0" w:color="auto"/>
            <w:right w:val="none" w:sz="0" w:space="0" w:color="auto"/>
          </w:divBdr>
        </w:div>
        <w:div w:id="1430931290">
          <w:marLeft w:val="0"/>
          <w:marRight w:val="0"/>
          <w:marTop w:val="0"/>
          <w:marBottom w:val="0"/>
          <w:divBdr>
            <w:top w:val="none" w:sz="0" w:space="0" w:color="auto"/>
            <w:left w:val="none" w:sz="0" w:space="0" w:color="auto"/>
            <w:bottom w:val="none" w:sz="0" w:space="0" w:color="auto"/>
            <w:right w:val="none" w:sz="0" w:space="0" w:color="auto"/>
          </w:divBdr>
        </w:div>
        <w:div w:id="1455364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iadynamicsinc.com/product/tv-dimensions/7fad93ad2662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adynamicsinc.com/product/cpmtrack/3b726335957a470/" TargetMode="External"/><Relationship Id="rId5" Type="http://schemas.openxmlformats.org/officeDocument/2006/relationships/hyperlink" Target="https://www.mediadynamicsinc.com/product/upfront-tracker/3e3c41069f7716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ewakelin@mediadynamicsinc.com</dc:creator>
  <cp:keywords/>
  <dc:description/>
  <cp:lastModifiedBy>ewakelin@mediadynamicsinc.com</cp:lastModifiedBy>
  <cp:revision>5</cp:revision>
  <cp:lastPrinted>2025-03-12T15:31:00Z</cp:lastPrinted>
  <dcterms:created xsi:type="dcterms:W3CDTF">2025-03-12T14:50:00Z</dcterms:created>
  <dcterms:modified xsi:type="dcterms:W3CDTF">2025-03-12T16:01:00Z</dcterms:modified>
</cp:coreProperties>
</file>